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eastAsia="方正小标宋简体"/>
          <w:color w:val="000000"/>
          <w:sz w:val="32"/>
          <w:szCs w:val="32"/>
        </w:rPr>
      </w:pPr>
      <w:r>
        <w:rPr>
          <w:rFonts w:eastAsia="方正小标宋简体"/>
          <w:color w:val="000000"/>
          <w:sz w:val="32"/>
          <w:szCs w:val="32"/>
        </w:rPr>
        <w:t>热轧光圆钢筋产品质量国家监督抽查实施细则</w:t>
      </w:r>
    </w:p>
    <w:p>
      <w:pPr>
        <w:spacing w:line="440" w:lineRule="exact"/>
        <w:jc w:val="center"/>
        <w:rPr>
          <w:rFonts w:eastAsia="方正小标宋简体"/>
          <w:color w:val="000000"/>
          <w:sz w:val="32"/>
          <w:szCs w:val="32"/>
        </w:rPr>
      </w:pPr>
      <w:r>
        <w:rPr>
          <w:rFonts w:eastAsia="方正小标宋简体"/>
          <w:color w:val="000000"/>
          <w:sz w:val="32"/>
          <w:szCs w:val="32"/>
        </w:rPr>
        <w:t>（202</w:t>
      </w:r>
      <w:r>
        <w:rPr>
          <w:rFonts w:hint="eastAsia" w:eastAsia="方正小标宋简体"/>
          <w:color w:val="000000"/>
          <w:sz w:val="32"/>
          <w:szCs w:val="32"/>
          <w:lang w:val="en-US" w:eastAsia="zh-CN"/>
        </w:rPr>
        <w:t>3</w:t>
      </w:r>
      <w:r>
        <w:rPr>
          <w:rFonts w:eastAsia="方正小标宋简体"/>
          <w:color w:val="000000"/>
          <w:sz w:val="32"/>
          <w:szCs w:val="32"/>
        </w:rPr>
        <w:t>年版）</w:t>
      </w:r>
    </w:p>
    <w:p>
      <w:pPr>
        <w:snapToGrid w:val="0"/>
        <w:spacing w:line="440" w:lineRule="exact"/>
        <w:jc w:val="center"/>
        <w:rPr>
          <w:rFonts w:eastAsia="方正小标宋简体"/>
          <w:color w:val="000000"/>
          <w:sz w:val="32"/>
          <w:szCs w:val="32"/>
        </w:rPr>
      </w:pPr>
      <w:r>
        <w:rPr>
          <w:rFonts w:eastAsia="方正小标宋简体"/>
          <w:color w:val="000000"/>
          <w:sz w:val="32"/>
          <w:szCs w:val="32"/>
        </w:rPr>
        <w:t>（征求意见稿）</w:t>
      </w:r>
    </w:p>
    <w:p>
      <w:pPr>
        <w:snapToGrid w:val="0"/>
        <w:spacing w:line="440" w:lineRule="exact"/>
        <w:ind w:firstLine="359" w:firstLineChars="171"/>
        <w:rPr>
          <w:color w:val="000000"/>
          <w:szCs w:val="21"/>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pacing w:line="360" w:lineRule="auto"/>
        <w:ind w:firstLine="420" w:firstLineChars="200"/>
        <w:rPr>
          <w:rFonts w:eastAsiaTheme="minorEastAsia"/>
          <w:color w:val="000000" w:themeColor="text1"/>
          <w:szCs w:val="21"/>
        </w:rPr>
      </w:pPr>
      <w:r>
        <w:rPr>
          <w:rFonts w:eastAsiaTheme="minorEastAsia"/>
          <w:color w:val="000000" w:themeColor="text1"/>
          <w:szCs w:val="21"/>
        </w:rPr>
        <w:t>对直条热轧光圆钢筋取样时，在同一批次（同一牌号、同一规格）的产品中随机抽取1捆，在该捆中随机抽取5根钢筋，每根钢筋截取的长度为2400mm</w:t>
      </w:r>
      <w:r>
        <w:rPr>
          <w:rFonts w:hint="eastAsia" w:eastAsiaTheme="minorEastAsia"/>
          <w:color w:val="000000" w:themeColor="text1"/>
          <w:szCs w:val="21"/>
        </w:rPr>
        <w:t>，</w:t>
      </w:r>
      <w:r>
        <w:rPr>
          <w:rFonts w:eastAsiaTheme="minorEastAsia"/>
          <w:color w:val="000000" w:themeColor="text1"/>
          <w:szCs w:val="21"/>
        </w:rPr>
        <w:t>逐根顺序编号为1～5，再把每根钢筋分成2支长度为1200mm的样品，2支样品逐支编号标记，并一一对应（如1-a，1-b），标记a的5支样品为检验样品，标记b的5支样品为备用样品。</w:t>
      </w:r>
    </w:p>
    <w:p>
      <w:pPr>
        <w:spacing w:line="360" w:lineRule="auto"/>
        <w:ind w:firstLine="420" w:firstLineChars="200"/>
        <w:rPr>
          <w:rFonts w:eastAsiaTheme="minorEastAsia"/>
          <w:color w:val="000000" w:themeColor="text1"/>
          <w:szCs w:val="21"/>
        </w:rPr>
      </w:pPr>
      <w:r>
        <w:rPr>
          <w:rFonts w:eastAsiaTheme="minorEastAsia"/>
          <w:color w:val="000000" w:themeColor="text1"/>
          <w:szCs w:val="21"/>
        </w:rPr>
        <w:t>对盘卷热轧光圆钢筋取样时，随机抽取同一批次（同一牌号、同一规格）的5盘产品，在每盘钢筋上距头或尾至少2000mm处，随机截取1根长度为2400mm的钢筋，逐根顺序编号为1～5，再把每根钢筋分成2支长度为1200mm的样品，2支样品逐支编号标记，并一一对应（如1-a，1-b）</w:t>
      </w:r>
      <w:r>
        <w:rPr>
          <w:rFonts w:eastAsiaTheme="minorEastAsia"/>
          <w:szCs w:val="21"/>
        </w:rPr>
        <w:t>。</w:t>
      </w:r>
      <w:r>
        <w:rPr>
          <w:rFonts w:eastAsiaTheme="minorEastAsia"/>
          <w:color w:val="000000" w:themeColor="text1"/>
          <w:szCs w:val="21"/>
        </w:rPr>
        <w:t>标记a的5支样品为检验样品，标记b的5支样品为备用样品。</w:t>
      </w:r>
    </w:p>
    <w:p>
      <w:pPr>
        <w:snapToGrid w:val="0"/>
        <w:spacing w:line="440" w:lineRule="exact"/>
        <w:rPr>
          <w:rFonts w:eastAsia="黑体"/>
          <w:color w:val="000000"/>
          <w:szCs w:val="21"/>
        </w:rPr>
      </w:pP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rPr>
          <w:rFonts w:eastAsia="黑体"/>
          <w:color w:val="000000"/>
          <w:szCs w:val="21"/>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1274"/>
        <w:gridCol w:w="3061"/>
        <w:gridCol w:w="3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522" w:type="pct"/>
            <w:tcBorders>
              <w:bottom w:val="single" w:color="auto" w:sz="4" w:space="0"/>
            </w:tcBorders>
            <w:vAlign w:val="center"/>
          </w:tcPr>
          <w:p>
            <w:pPr>
              <w:jc w:val="center"/>
              <w:rPr>
                <w:rFonts w:eastAsiaTheme="minorEastAsia"/>
                <w:szCs w:val="21"/>
              </w:rPr>
            </w:pPr>
            <w:r>
              <w:rPr>
                <w:rFonts w:eastAsiaTheme="minorEastAsia"/>
                <w:szCs w:val="21"/>
              </w:rPr>
              <w:t>序号</w:t>
            </w:r>
          </w:p>
        </w:tc>
        <w:tc>
          <w:tcPr>
            <w:tcW w:w="2362" w:type="pct"/>
            <w:gridSpan w:val="2"/>
            <w:tcBorders>
              <w:bottom w:val="single" w:color="auto" w:sz="4" w:space="0"/>
            </w:tcBorders>
            <w:vAlign w:val="center"/>
          </w:tcPr>
          <w:p>
            <w:pPr>
              <w:jc w:val="center"/>
              <w:rPr>
                <w:rFonts w:eastAsiaTheme="minorEastAsia"/>
                <w:szCs w:val="21"/>
              </w:rPr>
            </w:pPr>
            <w:r>
              <w:rPr>
                <w:rFonts w:eastAsiaTheme="minorEastAsia"/>
                <w:szCs w:val="21"/>
              </w:rPr>
              <w:t>检验项目</w:t>
            </w:r>
          </w:p>
        </w:tc>
        <w:tc>
          <w:tcPr>
            <w:tcW w:w="2115" w:type="pct"/>
            <w:tcBorders>
              <w:bottom w:val="single" w:color="auto" w:sz="4" w:space="0"/>
            </w:tcBorders>
            <w:vAlign w:val="center"/>
          </w:tcPr>
          <w:p>
            <w:pPr>
              <w:jc w:val="center"/>
              <w:rPr>
                <w:rFonts w:eastAsiaTheme="minorEastAsia"/>
                <w:szCs w:val="21"/>
              </w:rPr>
            </w:pPr>
            <w:r>
              <w:rPr>
                <w:rFonts w:eastAsiaTheme="minorEastAsia"/>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2" w:type="pct"/>
            <w:vMerge w:val="restart"/>
            <w:vAlign w:val="center"/>
          </w:tcPr>
          <w:p>
            <w:pPr>
              <w:jc w:val="center"/>
              <w:rPr>
                <w:rFonts w:eastAsiaTheme="minorEastAsia"/>
                <w:szCs w:val="21"/>
              </w:rPr>
            </w:pPr>
            <w:r>
              <w:rPr>
                <w:rFonts w:eastAsiaTheme="minorEastAsia"/>
                <w:szCs w:val="21"/>
              </w:rPr>
              <w:t>1</w:t>
            </w:r>
          </w:p>
        </w:tc>
        <w:tc>
          <w:tcPr>
            <w:tcW w:w="694" w:type="pct"/>
            <w:vMerge w:val="restart"/>
            <w:vAlign w:val="center"/>
          </w:tcPr>
          <w:p>
            <w:pPr>
              <w:jc w:val="center"/>
              <w:rPr>
                <w:rFonts w:eastAsiaTheme="minorEastAsia"/>
                <w:szCs w:val="21"/>
              </w:rPr>
            </w:pPr>
            <w:r>
              <w:rPr>
                <w:rFonts w:eastAsiaTheme="minorEastAsia"/>
                <w:szCs w:val="21"/>
              </w:rPr>
              <w:t>力学性能</w:t>
            </w:r>
          </w:p>
        </w:tc>
        <w:tc>
          <w:tcPr>
            <w:tcW w:w="1668" w:type="pct"/>
            <w:vAlign w:val="center"/>
          </w:tcPr>
          <w:p>
            <w:pPr>
              <w:jc w:val="center"/>
              <w:rPr>
                <w:rFonts w:eastAsiaTheme="minorEastAsia"/>
                <w:szCs w:val="21"/>
              </w:rPr>
            </w:pPr>
            <w:r>
              <w:rPr>
                <w:rFonts w:eastAsiaTheme="minorEastAsia"/>
                <w:szCs w:val="21"/>
              </w:rPr>
              <w:t>屈服强度</w:t>
            </w:r>
          </w:p>
        </w:tc>
        <w:tc>
          <w:tcPr>
            <w:tcW w:w="2115" w:type="pct"/>
            <w:vMerge w:val="restart"/>
            <w:vAlign w:val="center"/>
          </w:tcPr>
          <w:p>
            <w:pPr>
              <w:ind w:firstLine="420" w:firstLineChars="200"/>
              <w:jc w:val="center"/>
              <w:rPr>
                <w:rFonts w:eastAsiaTheme="minorEastAsia"/>
                <w:szCs w:val="21"/>
              </w:rPr>
            </w:pPr>
            <w:r>
              <w:rPr>
                <w:rFonts w:eastAsiaTheme="minorEastAsia"/>
                <w:szCs w:val="21"/>
              </w:rPr>
              <w:t>GB/T 1499.</w:t>
            </w:r>
            <w:r>
              <w:rPr>
                <w:rFonts w:hint="eastAsia" w:eastAsiaTheme="minorEastAsia"/>
                <w:szCs w:val="21"/>
              </w:rPr>
              <w:t>1</w:t>
            </w:r>
            <w:r>
              <w:rPr>
                <w:rFonts w:hint="eastAsia" w:ascii="Times New Roman" w:hAnsi="Times New Roman" w:cs="Times New Roman"/>
                <w:lang w:eastAsia="zh-CN"/>
              </w:rPr>
              <w:t>—</w:t>
            </w:r>
            <w:r>
              <w:rPr>
                <w:rFonts w:eastAsiaTheme="minorEastAsia"/>
                <w:szCs w:val="21"/>
              </w:rPr>
              <w:t>201</w:t>
            </w:r>
            <w:r>
              <w:rPr>
                <w:rFonts w:hint="eastAsia" w:eastAsiaTheme="minorEastAsia"/>
                <w:szCs w:val="21"/>
              </w:rPr>
              <w:t>7</w:t>
            </w:r>
          </w:p>
          <w:p>
            <w:pPr>
              <w:ind w:firstLine="420" w:firstLineChars="200"/>
              <w:jc w:val="center"/>
              <w:rPr>
                <w:rFonts w:eastAsiaTheme="minorEastAsia"/>
                <w:szCs w:val="21"/>
              </w:rPr>
            </w:pPr>
            <w:r>
              <w:rPr>
                <w:rFonts w:eastAsiaTheme="minorEastAsia"/>
                <w:szCs w:val="21"/>
              </w:rPr>
              <w:t>GB/T 28900</w:t>
            </w:r>
            <w:r>
              <w:rPr>
                <w:rFonts w:hint="eastAsia" w:ascii="Times New Roman" w:hAnsi="Times New Roman" w:cs="Times New Roman"/>
                <w:lang w:eastAsia="zh-CN"/>
              </w:rPr>
              <w:t>—</w:t>
            </w:r>
            <w:r>
              <w:rPr>
                <w:rFonts w:eastAsiaTheme="minorEastAsia"/>
                <w:szCs w:val="21"/>
              </w:rPr>
              <w:t>20</w:t>
            </w:r>
            <w:r>
              <w:rPr>
                <w:rFonts w:hint="eastAsia" w:eastAsiaTheme="minorEastAsia"/>
                <w:szCs w:val="21"/>
              </w:rPr>
              <w:t>2</w:t>
            </w:r>
            <w:r>
              <w:rPr>
                <w:rFonts w:eastAsiaTheme="minor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2" w:type="pct"/>
            <w:vMerge w:val="continue"/>
            <w:vAlign w:val="center"/>
          </w:tcPr>
          <w:p>
            <w:pPr>
              <w:jc w:val="center"/>
              <w:rPr>
                <w:rFonts w:eastAsiaTheme="minorEastAsia"/>
                <w:szCs w:val="21"/>
              </w:rPr>
            </w:pPr>
          </w:p>
        </w:tc>
        <w:tc>
          <w:tcPr>
            <w:tcW w:w="694" w:type="pct"/>
            <w:vMerge w:val="continue"/>
            <w:vAlign w:val="center"/>
          </w:tcPr>
          <w:p>
            <w:pPr>
              <w:jc w:val="center"/>
              <w:rPr>
                <w:rFonts w:eastAsiaTheme="minorEastAsia"/>
                <w:szCs w:val="21"/>
              </w:rPr>
            </w:pPr>
          </w:p>
        </w:tc>
        <w:tc>
          <w:tcPr>
            <w:tcW w:w="1668" w:type="pct"/>
            <w:vAlign w:val="center"/>
          </w:tcPr>
          <w:p>
            <w:pPr>
              <w:jc w:val="center"/>
              <w:rPr>
                <w:rFonts w:eastAsiaTheme="minorEastAsia"/>
                <w:szCs w:val="21"/>
              </w:rPr>
            </w:pPr>
            <w:r>
              <w:rPr>
                <w:rFonts w:eastAsiaTheme="minorEastAsia"/>
                <w:szCs w:val="21"/>
              </w:rPr>
              <w:t>抗拉强度</w:t>
            </w:r>
          </w:p>
        </w:tc>
        <w:tc>
          <w:tcPr>
            <w:tcW w:w="2115"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2" w:type="pct"/>
            <w:vMerge w:val="continue"/>
            <w:vAlign w:val="center"/>
          </w:tcPr>
          <w:p>
            <w:pPr>
              <w:jc w:val="center"/>
              <w:rPr>
                <w:rFonts w:eastAsiaTheme="minorEastAsia"/>
                <w:szCs w:val="21"/>
              </w:rPr>
            </w:pPr>
          </w:p>
        </w:tc>
        <w:tc>
          <w:tcPr>
            <w:tcW w:w="694" w:type="pct"/>
            <w:vMerge w:val="continue"/>
            <w:vAlign w:val="center"/>
          </w:tcPr>
          <w:p>
            <w:pPr>
              <w:jc w:val="center"/>
              <w:rPr>
                <w:rFonts w:eastAsiaTheme="minorEastAsia"/>
                <w:szCs w:val="21"/>
              </w:rPr>
            </w:pPr>
          </w:p>
        </w:tc>
        <w:tc>
          <w:tcPr>
            <w:tcW w:w="1668" w:type="pct"/>
            <w:vAlign w:val="center"/>
          </w:tcPr>
          <w:p>
            <w:pPr>
              <w:jc w:val="center"/>
              <w:rPr>
                <w:rFonts w:eastAsiaTheme="minorEastAsia"/>
                <w:szCs w:val="21"/>
              </w:rPr>
            </w:pPr>
            <w:r>
              <w:rPr>
                <w:rFonts w:eastAsiaTheme="minorEastAsia"/>
                <w:szCs w:val="21"/>
              </w:rPr>
              <w:t>断后伸长率</w:t>
            </w:r>
          </w:p>
        </w:tc>
        <w:tc>
          <w:tcPr>
            <w:tcW w:w="2115"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2" w:type="pct"/>
            <w:vMerge w:val="continue"/>
            <w:vAlign w:val="center"/>
          </w:tcPr>
          <w:p>
            <w:pPr>
              <w:jc w:val="center"/>
              <w:rPr>
                <w:rFonts w:eastAsiaTheme="minorEastAsia"/>
                <w:szCs w:val="21"/>
              </w:rPr>
            </w:pPr>
          </w:p>
        </w:tc>
        <w:tc>
          <w:tcPr>
            <w:tcW w:w="694" w:type="pct"/>
            <w:vMerge w:val="continue"/>
            <w:vAlign w:val="center"/>
          </w:tcPr>
          <w:p>
            <w:pPr>
              <w:jc w:val="center"/>
              <w:rPr>
                <w:rFonts w:eastAsiaTheme="minorEastAsia"/>
                <w:szCs w:val="21"/>
              </w:rPr>
            </w:pPr>
          </w:p>
        </w:tc>
        <w:tc>
          <w:tcPr>
            <w:tcW w:w="1668" w:type="pct"/>
            <w:vAlign w:val="center"/>
          </w:tcPr>
          <w:p>
            <w:pPr>
              <w:jc w:val="center"/>
              <w:rPr>
                <w:rFonts w:eastAsiaTheme="minorEastAsia"/>
                <w:szCs w:val="21"/>
              </w:rPr>
            </w:pPr>
            <w:r>
              <w:rPr>
                <w:rFonts w:eastAsiaTheme="minorEastAsia"/>
                <w:szCs w:val="21"/>
              </w:rPr>
              <w:t>最大力总延伸率</w:t>
            </w:r>
          </w:p>
        </w:tc>
        <w:tc>
          <w:tcPr>
            <w:tcW w:w="2115"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2" w:type="pct"/>
            <w:vAlign w:val="center"/>
          </w:tcPr>
          <w:p>
            <w:pPr>
              <w:jc w:val="center"/>
              <w:rPr>
                <w:rFonts w:eastAsiaTheme="minorEastAsia"/>
                <w:szCs w:val="21"/>
              </w:rPr>
            </w:pPr>
            <w:r>
              <w:rPr>
                <w:rFonts w:eastAsiaTheme="minorEastAsia"/>
                <w:szCs w:val="21"/>
              </w:rPr>
              <w:t>2</w:t>
            </w:r>
          </w:p>
        </w:tc>
        <w:tc>
          <w:tcPr>
            <w:tcW w:w="694" w:type="pct"/>
            <w:vAlign w:val="center"/>
          </w:tcPr>
          <w:p>
            <w:pPr>
              <w:jc w:val="center"/>
              <w:rPr>
                <w:rFonts w:eastAsiaTheme="minorEastAsia"/>
                <w:szCs w:val="21"/>
              </w:rPr>
            </w:pPr>
            <w:r>
              <w:rPr>
                <w:rFonts w:eastAsiaTheme="minorEastAsia"/>
                <w:szCs w:val="21"/>
              </w:rPr>
              <w:t>工艺性能</w:t>
            </w:r>
          </w:p>
        </w:tc>
        <w:tc>
          <w:tcPr>
            <w:tcW w:w="1668" w:type="pct"/>
            <w:vAlign w:val="center"/>
          </w:tcPr>
          <w:p>
            <w:pPr>
              <w:jc w:val="center"/>
              <w:rPr>
                <w:rFonts w:eastAsiaTheme="minorEastAsia"/>
                <w:szCs w:val="21"/>
              </w:rPr>
            </w:pPr>
            <w:r>
              <w:rPr>
                <w:rFonts w:eastAsiaTheme="minorEastAsia"/>
                <w:szCs w:val="21"/>
              </w:rPr>
              <w:t>弯曲</w:t>
            </w:r>
          </w:p>
        </w:tc>
        <w:tc>
          <w:tcPr>
            <w:tcW w:w="2115" w:type="pct"/>
            <w:vAlign w:val="center"/>
          </w:tcPr>
          <w:p>
            <w:pPr>
              <w:jc w:val="center"/>
              <w:rPr>
                <w:rFonts w:eastAsiaTheme="minorEastAsia"/>
                <w:szCs w:val="21"/>
              </w:rPr>
            </w:pPr>
            <w:r>
              <w:rPr>
                <w:rFonts w:eastAsiaTheme="minorEastAsia"/>
                <w:szCs w:val="21"/>
              </w:rPr>
              <w:t>GB/T 1499.</w:t>
            </w:r>
            <w:r>
              <w:rPr>
                <w:rFonts w:hint="eastAsia" w:eastAsiaTheme="minorEastAsia"/>
                <w:szCs w:val="21"/>
              </w:rPr>
              <w:t>1</w:t>
            </w:r>
            <w:r>
              <w:rPr>
                <w:rFonts w:hint="eastAsia" w:ascii="Times New Roman" w:hAnsi="Times New Roman" w:cs="Times New Roman"/>
                <w:lang w:eastAsia="zh-CN"/>
              </w:rPr>
              <w:t>—</w:t>
            </w:r>
            <w:r>
              <w:rPr>
                <w:rFonts w:eastAsiaTheme="minorEastAsia"/>
                <w:szCs w:val="21"/>
              </w:rPr>
              <w:t>201</w:t>
            </w:r>
            <w:r>
              <w:rPr>
                <w:rFonts w:hint="eastAsia" w:eastAsiaTheme="minorEastAsia"/>
                <w:szCs w:val="21"/>
              </w:rPr>
              <w:t>7</w:t>
            </w:r>
          </w:p>
          <w:p>
            <w:pPr>
              <w:jc w:val="center"/>
              <w:rPr>
                <w:rFonts w:eastAsiaTheme="minorEastAsia"/>
                <w:szCs w:val="21"/>
              </w:rPr>
            </w:pPr>
            <w:r>
              <w:rPr>
                <w:rFonts w:eastAsiaTheme="minorEastAsia"/>
                <w:szCs w:val="21"/>
              </w:rPr>
              <w:t>GB/T 28900</w:t>
            </w:r>
            <w:r>
              <w:rPr>
                <w:rFonts w:hint="eastAsia" w:ascii="Times New Roman" w:hAnsi="Times New Roman" w:cs="Times New Roman"/>
                <w:lang w:eastAsia="zh-CN"/>
              </w:rPr>
              <w:t>—</w:t>
            </w:r>
            <w:r>
              <w:rPr>
                <w:rFonts w:eastAsiaTheme="minorEastAsia"/>
                <w:szCs w:val="21"/>
              </w:rPr>
              <w:t>20</w:t>
            </w:r>
            <w:r>
              <w:rPr>
                <w:rFonts w:hint="eastAsia" w:eastAsiaTheme="minorEastAsia"/>
                <w:szCs w:val="21"/>
              </w:rPr>
              <w:t>2</w:t>
            </w:r>
            <w:r>
              <w:rPr>
                <w:rFonts w:eastAsiaTheme="minor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522" w:type="pct"/>
            <w:vMerge w:val="restart"/>
            <w:vAlign w:val="center"/>
          </w:tcPr>
          <w:p>
            <w:pPr>
              <w:jc w:val="center"/>
              <w:rPr>
                <w:rFonts w:eastAsiaTheme="minorEastAsia"/>
                <w:szCs w:val="21"/>
              </w:rPr>
            </w:pPr>
            <w:r>
              <w:rPr>
                <w:rFonts w:eastAsiaTheme="minorEastAsia"/>
                <w:szCs w:val="21"/>
              </w:rPr>
              <w:t>3</w:t>
            </w:r>
          </w:p>
        </w:tc>
        <w:tc>
          <w:tcPr>
            <w:tcW w:w="694" w:type="pct"/>
            <w:vMerge w:val="restart"/>
            <w:vAlign w:val="center"/>
          </w:tcPr>
          <w:p>
            <w:pPr>
              <w:rPr>
                <w:rFonts w:eastAsiaTheme="minorEastAsia"/>
                <w:szCs w:val="21"/>
              </w:rPr>
            </w:pPr>
            <w:r>
              <w:rPr>
                <w:rFonts w:eastAsiaTheme="minorEastAsia"/>
                <w:szCs w:val="21"/>
              </w:rPr>
              <w:t>化学成分</w:t>
            </w:r>
          </w:p>
        </w:tc>
        <w:tc>
          <w:tcPr>
            <w:tcW w:w="1668" w:type="pct"/>
            <w:vAlign w:val="center"/>
          </w:tcPr>
          <w:p>
            <w:pPr>
              <w:jc w:val="center"/>
              <w:rPr>
                <w:rFonts w:eastAsiaTheme="minorEastAsia"/>
                <w:szCs w:val="21"/>
              </w:rPr>
            </w:pPr>
            <w:r>
              <w:rPr>
                <w:rFonts w:eastAsiaTheme="minorEastAsia"/>
                <w:szCs w:val="21"/>
              </w:rPr>
              <w:t>C</w:t>
            </w:r>
          </w:p>
        </w:tc>
        <w:tc>
          <w:tcPr>
            <w:tcW w:w="2115" w:type="pct"/>
            <w:vMerge w:val="restart"/>
            <w:vAlign w:val="center"/>
          </w:tcPr>
          <w:p>
            <w:pPr>
              <w:jc w:val="center"/>
              <w:rPr>
                <w:rFonts w:eastAsiaTheme="minorEastAsia"/>
                <w:szCs w:val="21"/>
              </w:rPr>
            </w:pPr>
            <w:r>
              <w:rPr>
                <w:rFonts w:hint="eastAsia" w:eastAsiaTheme="minorEastAsia"/>
                <w:szCs w:val="21"/>
              </w:rPr>
              <w:t>GB/T 223.5</w:t>
            </w:r>
            <w:r>
              <w:rPr>
                <w:rFonts w:hint="eastAsia" w:ascii="Times New Roman" w:hAnsi="Times New Roman" w:cs="Times New Roman"/>
                <w:lang w:eastAsia="zh-CN"/>
              </w:rPr>
              <w:t>—</w:t>
            </w:r>
            <w:r>
              <w:rPr>
                <w:rFonts w:hint="eastAsia" w:eastAsiaTheme="minorEastAsia"/>
                <w:szCs w:val="21"/>
              </w:rPr>
              <w:t>2008</w:t>
            </w:r>
          </w:p>
          <w:p>
            <w:pPr>
              <w:jc w:val="center"/>
              <w:rPr>
                <w:rFonts w:eastAsiaTheme="minorEastAsia"/>
                <w:szCs w:val="21"/>
              </w:rPr>
            </w:pPr>
            <w:r>
              <w:rPr>
                <w:rFonts w:hint="eastAsia" w:eastAsiaTheme="minorEastAsia"/>
                <w:szCs w:val="21"/>
              </w:rPr>
              <w:t>GB/T 223.59</w:t>
            </w:r>
            <w:r>
              <w:rPr>
                <w:rFonts w:hint="eastAsia" w:ascii="Times New Roman" w:hAnsi="Times New Roman" w:cs="Times New Roman"/>
                <w:lang w:eastAsia="zh-CN"/>
              </w:rPr>
              <w:t>—</w:t>
            </w:r>
            <w:r>
              <w:rPr>
                <w:rFonts w:hint="eastAsia" w:eastAsiaTheme="minorEastAsia"/>
                <w:szCs w:val="21"/>
              </w:rPr>
              <w:t>2008</w:t>
            </w:r>
          </w:p>
          <w:p>
            <w:pPr>
              <w:jc w:val="center"/>
              <w:rPr>
                <w:rFonts w:eastAsiaTheme="minorEastAsia"/>
                <w:szCs w:val="21"/>
              </w:rPr>
            </w:pPr>
            <w:r>
              <w:rPr>
                <w:rFonts w:hint="eastAsia" w:eastAsiaTheme="minorEastAsia"/>
                <w:szCs w:val="21"/>
              </w:rPr>
              <w:t>GB/T 223.63</w:t>
            </w:r>
            <w:r>
              <w:rPr>
                <w:rFonts w:hint="eastAsia" w:ascii="Times New Roman" w:hAnsi="Times New Roman" w:cs="Times New Roman"/>
                <w:lang w:eastAsia="zh-CN"/>
              </w:rPr>
              <w:t>—</w:t>
            </w:r>
            <w:r>
              <w:rPr>
                <w:rFonts w:hint="eastAsia" w:eastAsiaTheme="minorEastAsia"/>
                <w:szCs w:val="21"/>
              </w:rPr>
              <w:t>2022</w:t>
            </w:r>
          </w:p>
          <w:p>
            <w:pPr>
              <w:jc w:val="center"/>
              <w:rPr>
                <w:rFonts w:eastAsiaTheme="minorEastAsia"/>
                <w:szCs w:val="21"/>
              </w:rPr>
            </w:pPr>
            <w:r>
              <w:rPr>
                <w:rFonts w:hint="eastAsia" w:eastAsiaTheme="minorEastAsia"/>
                <w:szCs w:val="21"/>
              </w:rPr>
              <w:t>GB/T 223.85</w:t>
            </w:r>
            <w:r>
              <w:rPr>
                <w:rFonts w:hint="eastAsia" w:ascii="Times New Roman" w:hAnsi="Times New Roman" w:cs="Times New Roman"/>
                <w:lang w:eastAsia="zh-CN"/>
              </w:rPr>
              <w:t>—</w:t>
            </w:r>
            <w:r>
              <w:rPr>
                <w:rFonts w:hint="eastAsia" w:eastAsiaTheme="minorEastAsia"/>
                <w:szCs w:val="21"/>
              </w:rPr>
              <w:t>2009</w:t>
            </w:r>
          </w:p>
          <w:p>
            <w:pPr>
              <w:jc w:val="center"/>
              <w:rPr>
                <w:rFonts w:eastAsiaTheme="minorEastAsia"/>
                <w:szCs w:val="21"/>
              </w:rPr>
            </w:pPr>
            <w:r>
              <w:rPr>
                <w:rFonts w:hint="eastAsia" w:eastAsiaTheme="minorEastAsia"/>
                <w:szCs w:val="21"/>
              </w:rPr>
              <w:t>GB/T 223.86</w:t>
            </w:r>
            <w:r>
              <w:rPr>
                <w:rFonts w:hint="eastAsia" w:ascii="Times New Roman" w:hAnsi="Times New Roman" w:cs="Times New Roman"/>
                <w:lang w:eastAsia="zh-CN"/>
              </w:rPr>
              <w:t>—</w:t>
            </w:r>
            <w:r>
              <w:rPr>
                <w:rFonts w:hint="eastAsia" w:eastAsiaTheme="minorEastAsia"/>
                <w:szCs w:val="21"/>
              </w:rPr>
              <w:t>2009</w:t>
            </w:r>
          </w:p>
          <w:p>
            <w:pPr>
              <w:jc w:val="center"/>
              <w:rPr>
                <w:rFonts w:eastAsiaTheme="minorEastAsia"/>
                <w:szCs w:val="21"/>
              </w:rPr>
            </w:pPr>
            <w:r>
              <w:rPr>
                <w:rFonts w:hint="eastAsia" w:eastAsiaTheme="minorEastAsia"/>
                <w:szCs w:val="21"/>
              </w:rPr>
              <w:t>GB/T 4336</w:t>
            </w:r>
            <w:r>
              <w:rPr>
                <w:rFonts w:hint="eastAsia" w:ascii="Times New Roman" w:hAnsi="Times New Roman" w:cs="Times New Roman"/>
                <w:lang w:eastAsia="zh-CN"/>
              </w:rPr>
              <w:t>—</w:t>
            </w:r>
            <w:r>
              <w:rPr>
                <w:rFonts w:hint="eastAsia" w:eastAsiaTheme="minorEastAsia"/>
                <w:szCs w:val="21"/>
              </w:rPr>
              <w:t>2016</w:t>
            </w:r>
            <w:r>
              <w:rPr>
                <w:rFonts w:eastAsiaTheme="minorEastAsia"/>
                <w:szCs w:val="21"/>
              </w:rPr>
              <w:t>及标准第1号修改单</w:t>
            </w:r>
          </w:p>
          <w:p>
            <w:pPr>
              <w:jc w:val="center"/>
              <w:rPr>
                <w:rFonts w:eastAsiaTheme="minorEastAsia"/>
                <w:szCs w:val="21"/>
              </w:rPr>
            </w:pPr>
            <w:r>
              <w:rPr>
                <w:rFonts w:hint="eastAsia" w:eastAsiaTheme="minorEastAsia"/>
                <w:szCs w:val="21"/>
              </w:rPr>
              <w:t>GB/T 20123</w:t>
            </w:r>
            <w:r>
              <w:rPr>
                <w:rFonts w:hint="eastAsia" w:ascii="Times New Roman" w:hAnsi="Times New Roman" w:cs="Times New Roman"/>
                <w:lang w:eastAsia="zh-CN"/>
              </w:rPr>
              <w:t>—</w:t>
            </w:r>
            <w:r>
              <w:rPr>
                <w:rFonts w:hint="eastAsia" w:eastAsiaTheme="minorEastAsia"/>
                <w:szCs w:val="21"/>
              </w:rPr>
              <w:t>2006</w:t>
            </w:r>
          </w:p>
          <w:p>
            <w:pPr>
              <w:jc w:val="center"/>
              <w:rPr>
                <w:rFonts w:eastAsiaTheme="minorEastAsia"/>
                <w:szCs w:val="21"/>
              </w:rPr>
            </w:pPr>
            <w:r>
              <w:rPr>
                <w:rFonts w:hint="eastAsia" w:eastAsiaTheme="minorEastAsia"/>
                <w:szCs w:val="21"/>
              </w:rPr>
              <w:t>GB/T 20125</w:t>
            </w:r>
            <w:bookmarkStart w:id="0" w:name="_GoBack"/>
            <w:bookmarkEnd w:id="0"/>
            <w:r>
              <w:rPr>
                <w:rFonts w:hint="eastAsia" w:ascii="Times New Roman" w:hAnsi="Times New Roman" w:cs="Times New Roman"/>
                <w:lang w:eastAsia="zh-CN"/>
              </w:rPr>
              <w:t>—</w:t>
            </w:r>
            <w:r>
              <w:rPr>
                <w:rFonts w:hint="eastAsia" w:eastAsiaTheme="minorEastAsia"/>
                <w:szCs w:val="21"/>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522" w:type="pct"/>
            <w:vMerge w:val="continue"/>
            <w:vAlign w:val="center"/>
          </w:tcPr>
          <w:p>
            <w:pPr>
              <w:jc w:val="center"/>
              <w:rPr>
                <w:rFonts w:eastAsiaTheme="minorEastAsia"/>
                <w:szCs w:val="21"/>
              </w:rPr>
            </w:pPr>
          </w:p>
        </w:tc>
        <w:tc>
          <w:tcPr>
            <w:tcW w:w="694" w:type="pct"/>
            <w:vMerge w:val="continue"/>
            <w:vAlign w:val="center"/>
          </w:tcPr>
          <w:p>
            <w:pPr>
              <w:jc w:val="center"/>
              <w:rPr>
                <w:rFonts w:eastAsiaTheme="minorEastAsia"/>
                <w:szCs w:val="21"/>
              </w:rPr>
            </w:pPr>
          </w:p>
        </w:tc>
        <w:tc>
          <w:tcPr>
            <w:tcW w:w="1668" w:type="pct"/>
            <w:vAlign w:val="center"/>
          </w:tcPr>
          <w:p>
            <w:pPr>
              <w:jc w:val="center"/>
              <w:rPr>
                <w:rFonts w:eastAsiaTheme="minorEastAsia"/>
                <w:szCs w:val="21"/>
              </w:rPr>
            </w:pPr>
            <w:r>
              <w:rPr>
                <w:rFonts w:eastAsiaTheme="minorEastAsia"/>
                <w:szCs w:val="21"/>
              </w:rPr>
              <w:t>Si</w:t>
            </w:r>
          </w:p>
        </w:tc>
        <w:tc>
          <w:tcPr>
            <w:tcW w:w="2115"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22" w:type="pct"/>
            <w:vMerge w:val="continue"/>
            <w:vAlign w:val="center"/>
          </w:tcPr>
          <w:p>
            <w:pPr>
              <w:jc w:val="center"/>
              <w:rPr>
                <w:rFonts w:eastAsiaTheme="minorEastAsia"/>
                <w:szCs w:val="21"/>
              </w:rPr>
            </w:pPr>
          </w:p>
        </w:tc>
        <w:tc>
          <w:tcPr>
            <w:tcW w:w="694" w:type="pct"/>
            <w:vMerge w:val="continue"/>
            <w:vAlign w:val="center"/>
          </w:tcPr>
          <w:p>
            <w:pPr>
              <w:jc w:val="center"/>
              <w:rPr>
                <w:rFonts w:eastAsiaTheme="minorEastAsia"/>
                <w:szCs w:val="21"/>
              </w:rPr>
            </w:pPr>
          </w:p>
        </w:tc>
        <w:tc>
          <w:tcPr>
            <w:tcW w:w="1668" w:type="pct"/>
            <w:vAlign w:val="center"/>
          </w:tcPr>
          <w:p>
            <w:pPr>
              <w:jc w:val="center"/>
              <w:rPr>
                <w:rFonts w:eastAsiaTheme="minorEastAsia"/>
                <w:szCs w:val="21"/>
              </w:rPr>
            </w:pPr>
            <w:r>
              <w:rPr>
                <w:rFonts w:eastAsiaTheme="minorEastAsia"/>
                <w:szCs w:val="21"/>
              </w:rPr>
              <w:t>Mn</w:t>
            </w:r>
          </w:p>
        </w:tc>
        <w:tc>
          <w:tcPr>
            <w:tcW w:w="2115"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522" w:type="pct"/>
            <w:vMerge w:val="continue"/>
            <w:vAlign w:val="center"/>
          </w:tcPr>
          <w:p>
            <w:pPr>
              <w:jc w:val="center"/>
              <w:rPr>
                <w:rFonts w:eastAsiaTheme="minorEastAsia"/>
                <w:szCs w:val="21"/>
              </w:rPr>
            </w:pPr>
          </w:p>
        </w:tc>
        <w:tc>
          <w:tcPr>
            <w:tcW w:w="694" w:type="pct"/>
            <w:vMerge w:val="continue"/>
            <w:vAlign w:val="center"/>
          </w:tcPr>
          <w:p>
            <w:pPr>
              <w:jc w:val="center"/>
              <w:rPr>
                <w:rFonts w:eastAsiaTheme="minorEastAsia"/>
                <w:szCs w:val="21"/>
              </w:rPr>
            </w:pPr>
          </w:p>
        </w:tc>
        <w:tc>
          <w:tcPr>
            <w:tcW w:w="1668" w:type="pct"/>
            <w:vAlign w:val="center"/>
          </w:tcPr>
          <w:p>
            <w:pPr>
              <w:jc w:val="center"/>
              <w:rPr>
                <w:rFonts w:eastAsiaTheme="minorEastAsia"/>
                <w:szCs w:val="21"/>
              </w:rPr>
            </w:pPr>
            <w:r>
              <w:rPr>
                <w:rFonts w:eastAsiaTheme="minorEastAsia"/>
                <w:szCs w:val="21"/>
              </w:rPr>
              <w:t>P</w:t>
            </w:r>
          </w:p>
        </w:tc>
        <w:tc>
          <w:tcPr>
            <w:tcW w:w="2115"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522" w:type="pct"/>
            <w:vMerge w:val="continue"/>
            <w:vAlign w:val="center"/>
          </w:tcPr>
          <w:p>
            <w:pPr>
              <w:jc w:val="center"/>
              <w:rPr>
                <w:rFonts w:eastAsiaTheme="minorEastAsia"/>
                <w:szCs w:val="21"/>
              </w:rPr>
            </w:pPr>
          </w:p>
        </w:tc>
        <w:tc>
          <w:tcPr>
            <w:tcW w:w="694" w:type="pct"/>
            <w:vMerge w:val="continue"/>
            <w:vAlign w:val="center"/>
          </w:tcPr>
          <w:p>
            <w:pPr>
              <w:jc w:val="center"/>
              <w:rPr>
                <w:rFonts w:eastAsiaTheme="minorEastAsia"/>
                <w:szCs w:val="21"/>
              </w:rPr>
            </w:pPr>
          </w:p>
        </w:tc>
        <w:tc>
          <w:tcPr>
            <w:tcW w:w="1668" w:type="pct"/>
            <w:vAlign w:val="center"/>
          </w:tcPr>
          <w:p>
            <w:pPr>
              <w:jc w:val="center"/>
              <w:rPr>
                <w:rFonts w:eastAsiaTheme="minorEastAsia"/>
                <w:szCs w:val="21"/>
              </w:rPr>
            </w:pPr>
            <w:r>
              <w:rPr>
                <w:rFonts w:eastAsiaTheme="minorEastAsia"/>
                <w:szCs w:val="21"/>
              </w:rPr>
              <w:t>S</w:t>
            </w:r>
          </w:p>
        </w:tc>
        <w:tc>
          <w:tcPr>
            <w:tcW w:w="2115"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522" w:type="pct"/>
            <w:vMerge w:val="restart"/>
            <w:vAlign w:val="center"/>
          </w:tcPr>
          <w:p>
            <w:pPr>
              <w:jc w:val="center"/>
              <w:rPr>
                <w:rFonts w:eastAsiaTheme="minorEastAsia"/>
                <w:szCs w:val="21"/>
              </w:rPr>
            </w:pPr>
            <w:r>
              <w:rPr>
                <w:rFonts w:eastAsiaTheme="minorEastAsia"/>
                <w:szCs w:val="21"/>
              </w:rPr>
              <w:t>4</w:t>
            </w:r>
          </w:p>
        </w:tc>
        <w:tc>
          <w:tcPr>
            <w:tcW w:w="694" w:type="pct"/>
            <w:vMerge w:val="restart"/>
            <w:vAlign w:val="center"/>
          </w:tcPr>
          <w:p>
            <w:pPr>
              <w:jc w:val="center"/>
              <w:rPr>
                <w:rFonts w:eastAsiaTheme="minorEastAsia"/>
                <w:szCs w:val="21"/>
              </w:rPr>
            </w:pPr>
            <w:r>
              <w:rPr>
                <w:rFonts w:eastAsiaTheme="minorEastAsia"/>
                <w:szCs w:val="21"/>
              </w:rPr>
              <w:t>尺寸</w:t>
            </w:r>
          </w:p>
        </w:tc>
        <w:tc>
          <w:tcPr>
            <w:tcW w:w="1668" w:type="pct"/>
            <w:vAlign w:val="center"/>
          </w:tcPr>
          <w:p>
            <w:pPr>
              <w:jc w:val="center"/>
              <w:rPr>
                <w:rFonts w:eastAsiaTheme="minorEastAsia"/>
                <w:szCs w:val="21"/>
              </w:rPr>
            </w:pPr>
            <w:r>
              <w:rPr>
                <w:rFonts w:eastAsiaTheme="minorEastAsia"/>
                <w:szCs w:val="21"/>
              </w:rPr>
              <w:t>不圆度</w:t>
            </w:r>
          </w:p>
        </w:tc>
        <w:tc>
          <w:tcPr>
            <w:tcW w:w="2115" w:type="pct"/>
            <w:vAlign w:val="center"/>
          </w:tcPr>
          <w:p>
            <w:pPr>
              <w:jc w:val="center"/>
              <w:rPr>
                <w:rFonts w:eastAsiaTheme="minorEastAsia"/>
                <w:szCs w:val="21"/>
              </w:rPr>
            </w:pPr>
            <w:r>
              <w:rPr>
                <w:rFonts w:eastAsiaTheme="minorEastAsia"/>
                <w:szCs w:val="21"/>
              </w:rPr>
              <w:t>GB/T 1499.</w:t>
            </w:r>
            <w:r>
              <w:rPr>
                <w:rFonts w:hint="eastAsia" w:eastAsiaTheme="minorEastAsia"/>
                <w:szCs w:val="21"/>
              </w:rPr>
              <w:t>1</w:t>
            </w:r>
            <w:r>
              <w:rPr>
                <w:rFonts w:hint="eastAsia" w:ascii="Times New Roman" w:hAnsi="Times New Roman" w:cs="Times New Roman"/>
                <w:lang w:eastAsia="zh-CN"/>
              </w:rPr>
              <w:t>—</w:t>
            </w:r>
            <w:r>
              <w:rPr>
                <w:rFonts w:eastAsiaTheme="minorEastAsia"/>
                <w:szCs w:val="21"/>
              </w:rPr>
              <w:t>201</w:t>
            </w:r>
            <w:r>
              <w:rPr>
                <w:rFonts w:hint="eastAsia" w:eastAsiaTheme="minorEastAsia"/>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22" w:type="pct"/>
            <w:vMerge w:val="continue"/>
            <w:vAlign w:val="center"/>
          </w:tcPr>
          <w:p>
            <w:pPr>
              <w:jc w:val="center"/>
              <w:rPr>
                <w:rFonts w:eastAsiaTheme="minorEastAsia"/>
                <w:szCs w:val="21"/>
              </w:rPr>
            </w:pPr>
          </w:p>
        </w:tc>
        <w:tc>
          <w:tcPr>
            <w:tcW w:w="694" w:type="pct"/>
            <w:vMerge w:val="continue"/>
            <w:vAlign w:val="center"/>
          </w:tcPr>
          <w:p>
            <w:pPr>
              <w:jc w:val="center"/>
              <w:rPr>
                <w:rFonts w:eastAsiaTheme="minorEastAsia"/>
                <w:szCs w:val="21"/>
              </w:rPr>
            </w:pPr>
          </w:p>
        </w:tc>
        <w:tc>
          <w:tcPr>
            <w:tcW w:w="1668" w:type="pct"/>
            <w:vAlign w:val="center"/>
          </w:tcPr>
          <w:p>
            <w:pPr>
              <w:jc w:val="center"/>
              <w:rPr>
                <w:rFonts w:eastAsiaTheme="minorEastAsia"/>
                <w:szCs w:val="21"/>
              </w:rPr>
            </w:pPr>
            <w:r>
              <w:rPr>
                <w:rFonts w:eastAsiaTheme="minorEastAsia"/>
                <w:szCs w:val="21"/>
              </w:rPr>
              <w:t>每米弯曲度</w:t>
            </w:r>
          </w:p>
        </w:tc>
        <w:tc>
          <w:tcPr>
            <w:tcW w:w="2115" w:type="pct"/>
            <w:vAlign w:val="center"/>
          </w:tcPr>
          <w:p>
            <w:pPr>
              <w:jc w:val="center"/>
              <w:rPr>
                <w:rFonts w:eastAsiaTheme="minorEastAsia"/>
                <w:szCs w:val="21"/>
              </w:rPr>
            </w:pPr>
            <w:r>
              <w:rPr>
                <w:rFonts w:eastAsiaTheme="minorEastAsia"/>
                <w:szCs w:val="21"/>
              </w:rPr>
              <w:t>GB/T 1499.</w:t>
            </w:r>
            <w:r>
              <w:rPr>
                <w:rFonts w:hint="eastAsia" w:eastAsiaTheme="minorEastAsia"/>
                <w:szCs w:val="21"/>
              </w:rPr>
              <w:t>1</w:t>
            </w:r>
            <w:r>
              <w:rPr>
                <w:rFonts w:hint="eastAsia" w:ascii="Times New Roman" w:hAnsi="Times New Roman" w:cs="Times New Roman"/>
                <w:lang w:eastAsia="zh-CN"/>
              </w:rPr>
              <w:t>—</w:t>
            </w:r>
            <w:r>
              <w:rPr>
                <w:rFonts w:eastAsiaTheme="minorEastAsia"/>
                <w:szCs w:val="21"/>
              </w:rPr>
              <w:t>201</w:t>
            </w:r>
            <w:r>
              <w:rPr>
                <w:rFonts w:hint="eastAsia" w:eastAsiaTheme="minorEastAsia"/>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2" w:type="pct"/>
            <w:vAlign w:val="center"/>
          </w:tcPr>
          <w:p>
            <w:pPr>
              <w:jc w:val="center"/>
              <w:rPr>
                <w:rFonts w:eastAsiaTheme="minorEastAsia"/>
                <w:szCs w:val="21"/>
              </w:rPr>
            </w:pPr>
            <w:r>
              <w:rPr>
                <w:rFonts w:eastAsiaTheme="minorEastAsia"/>
                <w:szCs w:val="21"/>
              </w:rPr>
              <w:t>5</w:t>
            </w:r>
          </w:p>
        </w:tc>
        <w:tc>
          <w:tcPr>
            <w:tcW w:w="2362" w:type="pct"/>
            <w:gridSpan w:val="2"/>
            <w:vAlign w:val="center"/>
          </w:tcPr>
          <w:p>
            <w:pPr>
              <w:jc w:val="center"/>
              <w:rPr>
                <w:rFonts w:eastAsiaTheme="minorEastAsia"/>
                <w:szCs w:val="21"/>
              </w:rPr>
            </w:pPr>
            <w:r>
              <w:rPr>
                <w:rFonts w:eastAsiaTheme="minorEastAsia"/>
                <w:szCs w:val="21"/>
              </w:rPr>
              <w:t>重量偏差</w:t>
            </w:r>
          </w:p>
        </w:tc>
        <w:tc>
          <w:tcPr>
            <w:tcW w:w="2115" w:type="pct"/>
            <w:vAlign w:val="center"/>
          </w:tcPr>
          <w:p>
            <w:pPr>
              <w:jc w:val="center"/>
              <w:rPr>
                <w:rFonts w:eastAsiaTheme="minorEastAsia"/>
                <w:szCs w:val="21"/>
              </w:rPr>
            </w:pPr>
            <w:r>
              <w:rPr>
                <w:rFonts w:eastAsiaTheme="minorEastAsia"/>
                <w:szCs w:val="21"/>
              </w:rPr>
              <w:t>GB/T 1499.</w:t>
            </w:r>
            <w:r>
              <w:rPr>
                <w:rFonts w:hint="eastAsia" w:eastAsiaTheme="minorEastAsia"/>
                <w:szCs w:val="21"/>
              </w:rPr>
              <w:t>1</w:t>
            </w:r>
            <w:r>
              <w:rPr>
                <w:rFonts w:hint="eastAsia" w:ascii="Times New Roman" w:hAnsi="Times New Roman" w:cs="Times New Roman"/>
                <w:lang w:eastAsia="zh-CN"/>
              </w:rPr>
              <w:t>—</w:t>
            </w:r>
            <w:r>
              <w:rPr>
                <w:rFonts w:eastAsiaTheme="minorEastAsia"/>
                <w:szCs w:val="21"/>
              </w:rPr>
              <w:t>201</w:t>
            </w:r>
            <w:r>
              <w:rPr>
                <w:rFonts w:hint="eastAsia" w:eastAsiaTheme="minorEastAsia"/>
                <w:szCs w:val="21"/>
              </w:rPr>
              <w:t>7</w:t>
            </w:r>
          </w:p>
        </w:tc>
      </w:tr>
    </w:tbl>
    <w:p>
      <w:pPr>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rFonts w:eastAsiaTheme="minorEastAsia"/>
          <w:szCs w:val="21"/>
        </w:rPr>
      </w:pPr>
    </w:p>
    <w:p>
      <w:pPr>
        <w:spacing w:beforeLines="50" w:line="360" w:lineRule="auto"/>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20" w:firstLineChars="200"/>
        <w:rPr>
          <w:color w:val="000000"/>
          <w:szCs w:val="21"/>
        </w:rPr>
      </w:pPr>
      <w:r>
        <w:rPr>
          <w:rFonts w:eastAsiaTheme="minorEastAsia"/>
          <w:szCs w:val="21"/>
        </w:rPr>
        <w:t>GB/T 1499.</w:t>
      </w:r>
      <w:r>
        <w:rPr>
          <w:rFonts w:hint="eastAsia" w:eastAsiaTheme="minorEastAsia"/>
          <w:szCs w:val="21"/>
        </w:rPr>
        <w:t>1</w:t>
      </w:r>
      <w:r>
        <w:rPr>
          <w:rFonts w:hint="eastAsia" w:ascii="Times New Roman" w:hAnsi="Times New Roman" w:cs="Times New Roman"/>
          <w:lang w:eastAsia="zh-CN"/>
        </w:rPr>
        <w:t>—</w:t>
      </w:r>
      <w:r>
        <w:rPr>
          <w:rFonts w:eastAsiaTheme="minorEastAsia"/>
          <w:szCs w:val="21"/>
        </w:rPr>
        <w:t>201</w:t>
      </w:r>
      <w:r>
        <w:rPr>
          <w:rFonts w:hint="eastAsia" w:eastAsiaTheme="minorEastAsia"/>
          <w:szCs w:val="21"/>
        </w:rPr>
        <w:t>7</w:t>
      </w:r>
      <w:r>
        <w:rPr>
          <w:color w:val="000000"/>
          <w:szCs w:val="21"/>
        </w:rPr>
        <w:t>钢筋混凝土用钢第</w:t>
      </w:r>
      <w:r>
        <w:rPr>
          <w:rFonts w:hint="eastAsia"/>
          <w:color w:val="000000"/>
          <w:szCs w:val="21"/>
        </w:rPr>
        <w:t>1</w:t>
      </w:r>
      <w:r>
        <w:rPr>
          <w:color w:val="000000"/>
          <w:szCs w:val="21"/>
        </w:rPr>
        <w:t>部分：热轧</w:t>
      </w:r>
      <w:r>
        <w:rPr>
          <w:rFonts w:hint="eastAsia"/>
          <w:color w:val="000000"/>
          <w:szCs w:val="21"/>
        </w:rPr>
        <w:t>光圆</w:t>
      </w:r>
      <w:r>
        <w:rPr>
          <w:color w:val="000000"/>
          <w:szCs w:val="21"/>
        </w:rPr>
        <w:t>钢筋</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adjustRightInd w:val="0"/>
        <w:snapToGrid w:val="0"/>
        <w:spacing w:line="440" w:lineRule="exact"/>
        <w:rPr>
          <w:color w:val="000000"/>
          <w:szCs w:val="21"/>
        </w:rPr>
      </w:pPr>
      <w:r>
        <w:rPr>
          <w:rFonts w:hint="eastAsia"/>
          <w:color w:val="000000"/>
          <w:szCs w:val="21"/>
        </w:rPr>
        <w:t>3.2判定原则</w:t>
      </w:r>
    </w:p>
    <w:p>
      <w:pPr>
        <w:adjustRightInd w:val="0"/>
        <w:snapToGrid w:val="0"/>
        <w:spacing w:line="440" w:lineRule="exact"/>
        <w:ind w:firstLine="420" w:firstLineChars="200"/>
        <w:rPr>
          <w:color w:val="000000"/>
          <w:szCs w:val="21"/>
        </w:rPr>
      </w:pPr>
      <w:r>
        <w:rPr>
          <w:rFonts w:hint="eastAsia"/>
          <w:color w:val="000000"/>
          <w:szCs w:val="21"/>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pPr>
        <w:adjustRightInd w:val="0"/>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pPr>
        <w:adjustRightInd w:val="0"/>
        <w:snapToGrid w:val="0"/>
        <w:spacing w:line="440" w:lineRule="exact"/>
        <w:ind w:firstLine="417" w:firstLineChars="199"/>
        <w:rPr>
          <w:color w:val="000000"/>
          <w:szCs w:val="21"/>
        </w:rPr>
      </w:pPr>
      <w:r>
        <w:rPr>
          <w:rFonts w:hint="eastAsia"/>
          <w:color w:val="000000"/>
          <w:szCs w:val="21"/>
        </w:rPr>
        <w:t>若被检产品明示的质量要求低于或包含</w:t>
      </w:r>
      <w:r>
        <w:rPr>
          <w:rFonts w:hint="eastAsia"/>
          <w:color w:val="000000"/>
          <w:szCs w:val="21"/>
          <w:lang w:val="en-US" w:eastAsia="zh-CN"/>
        </w:rPr>
        <w:t>本</w:t>
      </w:r>
      <w:r>
        <w:rPr>
          <w:rFonts w:hint="eastAsia"/>
          <w:color w:val="000000"/>
          <w:szCs w:val="21"/>
        </w:rPr>
        <w:t>细则中检验项目依据的推荐性标准要求时，应以被检产品明示的质量要求判定。</w:t>
      </w:r>
    </w:p>
    <w:p>
      <w:pPr>
        <w:adjustRightInd w:val="0"/>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hint="eastAsia"/>
          <w:color w:val="000000"/>
          <w:szCs w:val="21"/>
        </w:rPr>
      </w:pPr>
    </w:p>
    <w:p>
      <w:pPr>
        <w:spacing w:line="440" w:lineRule="exact"/>
        <w:rPr>
          <w:rFonts w:hint="eastAsia" w:eastAsia="黑体"/>
          <w:color w:val="000000"/>
          <w:szCs w:val="21"/>
        </w:rPr>
      </w:pPr>
      <w:r>
        <w:rPr>
          <w:rFonts w:hint="eastAsia" w:eastAsia="黑体"/>
          <w:color w:val="000000"/>
          <w:szCs w:val="21"/>
        </w:rPr>
        <w:t>4 附则</w:t>
      </w:r>
    </w:p>
    <w:p>
      <w:pPr>
        <w:snapToGrid w:val="0"/>
        <w:spacing w:line="440" w:lineRule="exact"/>
        <w:ind w:firstLine="417" w:firstLineChars="199"/>
        <w:rPr>
          <w:color w:val="FF0000"/>
          <w:szCs w:val="21"/>
        </w:rPr>
      </w:pPr>
      <w:r>
        <w:rPr>
          <w:rFonts w:hint="eastAsia"/>
          <w:color w:val="000000"/>
          <w:szCs w:val="21"/>
        </w:rPr>
        <w:t>本细则代替《市场监管总局关于发布</w:t>
      </w:r>
      <w:r>
        <w:rPr>
          <w:rFonts w:ascii="Times New Roman" w:hAnsi="Times New Roman"/>
          <w:color w:val="000000"/>
          <w:kern w:val="2"/>
          <w:sz w:val="21"/>
          <w:szCs w:val="21"/>
        </w:rPr>
        <w:t>羊绒针织衫等</w:t>
      </w:r>
      <w:r>
        <w:rPr>
          <w:rFonts w:hint="eastAsia"/>
          <w:color w:val="000000"/>
          <w:szCs w:val="21"/>
          <w:lang w:val="en-US" w:eastAsia="zh-CN"/>
        </w:rPr>
        <w:t>4</w:t>
      </w:r>
      <w:r>
        <w:rPr>
          <w:rFonts w:hint="eastAsia"/>
          <w:color w:val="000000"/>
          <w:szCs w:val="21"/>
        </w:rPr>
        <w:t>1种产品质量国家监督抽查实施细则的公告》（2020年第</w:t>
      </w:r>
      <w:r>
        <w:rPr>
          <w:rFonts w:hint="eastAsia"/>
          <w:color w:val="000000"/>
          <w:szCs w:val="21"/>
          <w:lang w:val="en-US" w:eastAsia="zh-CN"/>
        </w:rPr>
        <w:t>60</w:t>
      </w:r>
      <w:r>
        <w:rPr>
          <w:rFonts w:hint="eastAsia"/>
          <w:color w:val="000000"/>
          <w:szCs w:val="21"/>
        </w:rPr>
        <w:t>号）中的《热轧光圆钢筋产品质量国家监督抽查实施细则》。</w:t>
      </w:r>
    </w:p>
    <w:p>
      <w:pPr>
        <w:snapToGrid w:val="0"/>
        <w:spacing w:line="440" w:lineRule="exact"/>
        <w:rPr>
          <w:color w:val="FF0000"/>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RmZDlmMjdkNDI1NjEzMmI2Y2M4ZTAxODQ5YmJlMTYifQ=="/>
  </w:docVars>
  <w:rsids>
    <w:rsidRoot w:val="00172A27"/>
    <w:rsid w:val="00001D7E"/>
    <w:rsid w:val="00012EEB"/>
    <w:rsid w:val="00051A44"/>
    <w:rsid w:val="00052092"/>
    <w:rsid w:val="000770C5"/>
    <w:rsid w:val="00081CBD"/>
    <w:rsid w:val="000976DE"/>
    <w:rsid w:val="000C27EF"/>
    <w:rsid w:val="000D0DD1"/>
    <w:rsid w:val="000F2B3C"/>
    <w:rsid w:val="001307B7"/>
    <w:rsid w:val="00172A27"/>
    <w:rsid w:val="001809DD"/>
    <w:rsid w:val="0019673E"/>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60341"/>
    <w:rsid w:val="007928F3"/>
    <w:rsid w:val="008139C8"/>
    <w:rsid w:val="00871617"/>
    <w:rsid w:val="00895BEA"/>
    <w:rsid w:val="008A3497"/>
    <w:rsid w:val="008B1BD3"/>
    <w:rsid w:val="00917A54"/>
    <w:rsid w:val="009249EF"/>
    <w:rsid w:val="00926C29"/>
    <w:rsid w:val="00930572"/>
    <w:rsid w:val="009865FB"/>
    <w:rsid w:val="009D5E02"/>
    <w:rsid w:val="009E01DE"/>
    <w:rsid w:val="009E4DB8"/>
    <w:rsid w:val="009F7375"/>
    <w:rsid w:val="00A07E66"/>
    <w:rsid w:val="00A43553"/>
    <w:rsid w:val="00A62E74"/>
    <w:rsid w:val="00A64631"/>
    <w:rsid w:val="00A760C9"/>
    <w:rsid w:val="00A902CC"/>
    <w:rsid w:val="00AD5A48"/>
    <w:rsid w:val="00AF24AF"/>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52728"/>
    <w:rsid w:val="00F77C9A"/>
    <w:rsid w:val="00F86832"/>
    <w:rsid w:val="00FB576C"/>
    <w:rsid w:val="00FD2AA6"/>
    <w:rsid w:val="00FE7E8A"/>
    <w:rsid w:val="00FF5DCC"/>
    <w:rsid w:val="09234C9E"/>
    <w:rsid w:val="0BF3562B"/>
    <w:rsid w:val="11473DDB"/>
    <w:rsid w:val="1A784B4A"/>
    <w:rsid w:val="1B9113EA"/>
    <w:rsid w:val="22096B18"/>
    <w:rsid w:val="22FC1241"/>
    <w:rsid w:val="23BA3AC6"/>
    <w:rsid w:val="306F4C42"/>
    <w:rsid w:val="575527A0"/>
    <w:rsid w:val="61DA6FE3"/>
    <w:rsid w:val="636B2161"/>
    <w:rsid w:val="7EDB39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脚 Char"/>
    <w:basedOn w:val="7"/>
    <w:link w:val="4"/>
    <w:qFormat/>
    <w:uiPriority w:val="99"/>
    <w:rPr>
      <w:kern w:val="2"/>
      <w:sz w:val="18"/>
      <w:szCs w:val="18"/>
    </w:rPr>
  </w:style>
  <w:style w:type="character" w:customStyle="1" w:styleId="10">
    <w:name w:val="页眉 Char"/>
    <w:basedOn w:val="7"/>
    <w:link w:val="5"/>
    <w:semiHidden/>
    <w:qFormat/>
    <w:uiPriority w:val="99"/>
    <w:rPr>
      <w:kern w:val="2"/>
      <w:sz w:val="18"/>
      <w:szCs w:val="18"/>
    </w:rPr>
  </w:style>
  <w:style w:type="paragraph" w:customStyle="1" w:styleId="11">
    <w:name w:val="列出段落1"/>
    <w:basedOn w:val="1"/>
    <w:qFormat/>
    <w:uiPriority w:val="34"/>
    <w:pPr>
      <w:ind w:firstLine="420" w:firstLineChars="200"/>
    </w:pPr>
    <w:rPr>
      <w:rFonts w:ascii="Calibri" w:hAnsi="Calibri"/>
      <w:szCs w:val="22"/>
    </w:rPr>
  </w:style>
  <w:style w:type="character" w:customStyle="1" w:styleId="12">
    <w:name w:val="批注框文本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990</Words>
  <Characters>1206</Characters>
  <Lines>9</Lines>
  <Paragraphs>2</Paragraphs>
  <TotalTime>1</TotalTime>
  <ScaleCrop>false</ScaleCrop>
  <LinksUpToDate>false</LinksUpToDate>
  <CharactersWithSpaces>1226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2019-12-31T08:57:00Z</dcterms:created>
  <dc:creator>Legend User</dc:creator>
  <cp:lastModifiedBy>Dell</cp:lastModifiedBy>
  <cp:lastPrinted>2019-12-26T06:50:00Z</cp:lastPrinted>
  <dcterms:modified xsi:type="dcterms:W3CDTF">2023-01-31T05:45:03Z</dcterms:modified>
  <dc:title>××产品质量监督抽查实施细则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C01E0F34DDFD409F9122A644C1B8E8B8</vt:lpwstr>
  </property>
</Properties>
</file>